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3A08" w:rsidRDefault="00000000">
      <w:pPr>
        <w:pStyle w:val="a3"/>
        <w:spacing w:before="99" w:line="206" w:lineRule="auto"/>
        <w:ind w:left="0" w:right="108"/>
        <w:jc w:val="both"/>
        <w:rPr>
          <w:rFonts w:ascii="Minion Pro" w:eastAsia="宋体" w:hAnsi="Minion Pro"/>
          <w:b/>
          <w:bCs/>
          <w:color w:val="000000" w:themeColor="text1"/>
          <w:w w:val="105"/>
          <w:sz w:val="18"/>
          <w:szCs w:val="18"/>
          <w:lang w:eastAsia="zh-CN"/>
        </w:rPr>
      </w:pPr>
      <w:r>
        <w:rPr>
          <w:rFonts w:ascii="Minion Pro" w:eastAsia="宋体" w:hAnsi="Minion Pro" w:hint="eastAsia"/>
          <w:b/>
          <w:bCs/>
          <w:color w:val="000000" w:themeColor="text1"/>
          <w:w w:val="105"/>
          <w:sz w:val="18"/>
          <w:szCs w:val="18"/>
          <w:lang w:eastAsia="zh-CN"/>
        </w:rPr>
        <w:t>S</w:t>
      </w:r>
      <w:r>
        <w:rPr>
          <w:rFonts w:ascii="Minion Pro" w:hAnsi="Minion Pro" w:hint="eastAsia"/>
          <w:b/>
          <w:bCs/>
          <w:color w:val="000000" w:themeColor="text1"/>
          <w:w w:val="105"/>
          <w:sz w:val="18"/>
          <w:szCs w:val="18"/>
        </w:rPr>
        <w:t>upplementary figures</w:t>
      </w:r>
      <w:r>
        <w:rPr>
          <w:rFonts w:ascii="Minion Pro" w:eastAsia="宋体" w:hAnsi="Minion Pro" w:hint="eastAsia"/>
          <w:b/>
          <w:bCs/>
          <w:color w:val="000000" w:themeColor="text1"/>
          <w:w w:val="105"/>
          <w:sz w:val="18"/>
          <w:szCs w:val="18"/>
          <w:lang w:eastAsia="zh-CN"/>
        </w:rPr>
        <w:t xml:space="preserve"> legends</w:t>
      </w:r>
    </w:p>
    <w:p w:rsidR="00D03A08" w:rsidRDefault="00000000">
      <w:pPr>
        <w:pStyle w:val="a3"/>
        <w:spacing w:before="99" w:line="206" w:lineRule="auto"/>
        <w:ind w:left="0" w:right="108"/>
        <w:jc w:val="both"/>
        <w:rPr>
          <w:rFonts w:ascii="Minion Pro" w:hAnsi="Minion Pro"/>
          <w:color w:val="000000" w:themeColor="text1"/>
          <w:w w:val="105"/>
          <w:sz w:val="18"/>
          <w:szCs w:val="18"/>
          <w:lang w:eastAsia="zh-CN"/>
        </w:rPr>
      </w:pPr>
      <w:r>
        <w:rPr>
          <w:rFonts w:ascii="Minion Pro" w:hAnsi="Minion Pro"/>
          <w:b/>
          <w:bCs/>
          <w:color w:val="000000" w:themeColor="text1"/>
          <w:w w:val="105"/>
          <w:sz w:val="18"/>
          <w:szCs w:val="18"/>
        </w:rPr>
        <w:t>Figure S1.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 The co-cultured of parental or resistant MPC-11 cells with bone marrow stromal HS-5 cells. Parental MPC-11 cells or the resistant cells were co-cultured with HS-5 cells in the presence of 4 </w:t>
      </w:r>
      <w:proofErr w:type="spellStart"/>
      <w:r>
        <w:rPr>
          <w:rFonts w:ascii="Minion Pro" w:hAnsi="Minion Pro"/>
          <w:color w:val="000000" w:themeColor="text1"/>
          <w:w w:val="105"/>
          <w:sz w:val="18"/>
          <w:szCs w:val="18"/>
        </w:rPr>
        <w:t>nM</w:t>
      </w:r>
      <w:proofErr w:type="spellEnd"/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 carfilzomib for 48 hours. The cell death was analyzed by flow cytometry. Data are the summary of 3 independent experiments. **** </w:t>
      </w:r>
      <w:r>
        <w:rPr>
          <w:rFonts w:ascii="Minion Pro" w:hAnsi="Minion Pro"/>
          <w:i/>
          <w:iCs/>
          <w:color w:val="000000" w:themeColor="text1"/>
          <w:w w:val="105"/>
          <w:sz w:val="18"/>
          <w:szCs w:val="18"/>
        </w:rPr>
        <w:t>p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>&lt;0.0001</w:t>
      </w:r>
      <w:r>
        <w:rPr>
          <w:rFonts w:ascii="Minion Pro" w:hAnsi="Minion Pro"/>
          <w:color w:val="000000" w:themeColor="text1"/>
          <w:w w:val="105"/>
          <w:sz w:val="18"/>
          <w:szCs w:val="18"/>
          <w:lang w:eastAsia="zh-CN"/>
        </w:rPr>
        <w:t>.</w:t>
      </w:r>
    </w:p>
    <w:p w:rsidR="00D03A08" w:rsidRDefault="00000000">
      <w:pPr>
        <w:pStyle w:val="a3"/>
        <w:spacing w:before="99" w:line="206" w:lineRule="auto"/>
        <w:ind w:left="0" w:right="108"/>
        <w:jc w:val="both"/>
        <w:rPr>
          <w:rFonts w:ascii="Minion Pro" w:hAnsi="Minion Pro"/>
          <w:color w:val="000000" w:themeColor="text1"/>
          <w:w w:val="105"/>
          <w:sz w:val="18"/>
          <w:szCs w:val="18"/>
        </w:rPr>
      </w:pPr>
      <w:r>
        <w:rPr>
          <w:rFonts w:ascii="Minion Pro" w:hAnsi="Minion Pro"/>
          <w:b/>
          <w:bCs/>
          <w:color w:val="000000" w:themeColor="text1"/>
          <w:w w:val="105"/>
          <w:sz w:val="18"/>
          <w:szCs w:val="18"/>
        </w:rPr>
        <w:t>Figure S2.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 To study whether TNF-α signaling affects carfilzomib sensitivity, parental and resistant MPC-11 cells were treated with 10 ng/ml recombinant TNF-α protein and cultured in the presence of 4 </w:t>
      </w:r>
      <w:proofErr w:type="spellStart"/>
      <w:r>
        <w:rPr>
          <w:rFonts w:ascii="Minion Pro" w:hAnsi="Minion Pro"/>
          <w:color w:val="000000" w:themeColor="text1"/>
          <w:w w:val="105"/>
          <w:sz w:val="18"/>
          <w:szCs w:val="18"/>
        </w:rPr>
        <w:t>nM</w:t>
      </w:r>
      <w:proofErr w:type="spellEnd"/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 carfilzomib.  (A). The cell death was analyzed by flow cytometry. Data are the summary of 3 independent experiments. (B). </w:t>
      </w:r>
      <w:proofErr w:type="spellStart"/>
      <w:r>
        <w:rPr>
          <w:rFonts w:ascii="Minion Pro" w:hAnsi="Minion Pro"/>
          <w:color w:val="000000" w:themeColor="text1"/>
          <w:w w:val="105"/>
          <w:sz w:val="18"/>
          <w:szCs w:val="18"/>
        </w:rPr>
        <w:t>qRT</w:t>
      </w:r>
      <w:proofErr w:type="spellEnd"/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-PCR analyses of cell adhesion molecules in different experimental groups. Data are the summary of 3 independent experiments. * </w:t>
      </w:r>
      <w:r>
        <w:rPr>
          <w:rFonts w:ascii="Minion Pro" w:hAnsi="Minion Pro"/>
          <w:i/>
          <w:iCs/>
          <w:color w:val="000000" w:themeColor="text1"/>
          <w:w w:val="105"/>
          <w:sz w:val="18"/>
          <w:szCs w:val="18"/>
        </w:rPr>
        <w:t>p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&lt;0.05; ** </w:t>
      </w:r>
      <w:r>
        <w:rPr>
          <w:rFonts w:ascii="Minion Pro" w:hAnsi="Minion Pro"/>
          <w:i/>
          <w:iCs/>
          <w:color w:val="000000" w:themeColor="text1"/>
          <w:w w:val="105"/>
          <w:sz w:val="18"/>
          <w:szCs w:val="18"/>
        </w:rPr>
        <w:t>p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&lt;0.01; *** </w:t>
      </w:r>
      <w:r>
        <w:rPr>
          <w:rFonts w:ascii="Minion Pro" w:hAnsi="Minion Pro"/>
          <w:i/>
          <w:iCs/>
          <w:color w:val="000000" w:themeColor="text1"/>
          <w:w w:val="105"/>
          <w:sz w:val="18"/>
          <w:szCs w:val="18"/>
        </w:rPr>
        <w:t>p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&lt;0.001; **** </w:t>
      </w:r>
      <w:r>
        <w:rPr>
          <w:rFonts w:ascii="Minion Pro" w:hAnsi="Minion Pro"/>
          <w:i/>
          <w:iCs/>
          <w:color w:val="000000" w:themeColor="text1"/>
          <w:w w:val="105"/>
          <w:sz w:val="18"/>
          <w:szCs w:val="18"/>
        </w:rPr>
        <w:t>p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>&lt;0.0001.</w:t>
      </w:r>
    </w:p>
    <w:p w:rsidR="00D03A08" w:rsidRDefault="00D03A08">
      <w:pPr>
        <w:rPr>
          <w:rFonts w:eastAsia="宋体"/>
          <w:lang w:eastAsia="zh-CN"/>
        </w:rPr>
      </w:pPr>
    </w:p>
    <w:sectPr w:rsidR="00D03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 Pro">
    <w:altName w:val="Segoe Print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08"/>
    <w:rsid w:val="00D03A08"/>
    <w:rsid w:val="00EA66CB"/>
    <w:rsid w:val="7BCD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BF08F6"/>
  <w15:docId w15:val="{4EFAB1F5-29C7-4497-951A-A74F6C23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PMingLiU" w:eastAsia="PMingLiU" w:hAnsi="PMingLiU" w:cs="PMingLiU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2023-08-30T04:18:00Z</dcterms:created>
  <dcterms:modified xsi:type="dcterms:W3CDTF">2023-09-05T02:13:00Z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